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r>
        <w:rPr>
          <w:rFonts w:ascii="Consolas" w:hAnsi="Consolas" w:cs="Consolas"/>
          <w:b/>
          <w:bCs/>
          <w:color w:val="292B2C"/>
          <w:sz w:val="21"/>
          <w:szCs w:val="21"/>
        </w:rPr>
        <w:t>КАБІНЕТ МІНІ</w:t>
      </w:r>
      <w:proofErr w:type="gramStart"/>
      <w:r>
        <w:rPr>
          <w:rFonts w:ascii="Consolas" w:hAnsi="Consolas" w:cs="Consolas"/>
          <w:b/>
          <w:bCs/>
          <w:color w:val="292B2C"/>
          <w:sz w:val="21"/>
          <w:szCs w:val="21"/>
        </w:rPr>
        <w:t>СТР</w:t>
      </w:r>
      <w:proofErr w:type="gramEnd"/>
      <w:r>
        <w:rPr>
          <w:rFonts w:ascii="Consolas" w:hAnsi="Consolas" w:cs="Consolas"/>
          <w:b/>
          <w:bCs/>
          <w:color w:val="292B2C"/>
          <w:sz w:val="21"/>
          <w:szCs w:val="21"/>
        </w:rPr>
        <w:t xml:space="preserve">ІВ УКРАЇНИ </w:t>
      </w:r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br/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0" w:name="o2"/>
      <w:bookmarkEnd w:id="0"/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t xml:space="preserve">                        П О С Т А Н О В А </w:t>
      </w:r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br/>
        <w:t xml:space="preserve">                   від 19 серпня 1993 р. N 660 </w:t>
      </w:r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br/>
        <w:t xml:space="preserve">                               Київ </w:t>
      </w:r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br/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1" w:name="o3"/>
      <w:bookmarkEnd w:id="1"/>
      <w:r w:rsidRPr="00FB4716">
        <w:rPr>
          <w:rFonts w:ascii="Consolas" w:hAnsi="Consolas" w:cs="Consolas"/>
          <w:i/>
          <w:iCs/>
          <w:color w:val="292B2C"/>
          <w:sz w:val="21"/>
          <w:szCs w:val="21"/>
          <w:lang w:val="uk-UA"/>
        </w:rPr>
        <w:t xml:space="preserve">      ( Постанова втратила чинність на підставі Постанови КМ </w:t>
      </w:r>
      <w:r w:rsidRPr="00FB4716">
        <w:rPr>
          <w:rFonts w:ascii="Consolas" w:hAnsi="Consolas" w:cs="Consolas"/>
          <w:i/>
          <w:iCs/>
          <w:color w:val="292B2C"/>
          <w:sz w:val="21"/>
          <w:szCs w:val="21"/>
          <w:lang w:val="uk-UA"/>
        </w:rPr>
        <w:br/>
        <w:t xml:space="preserve">        N 964 ( </w:t>
      </w:r>
      <w:hyperlink r:id="rId4" w:tgtFrame="_blank" w:history="1">
        <w:r w:rsidRPr="00FB4716">
          <w:rPr>
            <w:rStyle w:val="a3"/>
            <w:rFonts w:ascii="Consolas" w:hAnsi="Consolas" w:cs="Consolas"/>
            <w:i/>
            <w:iCs/>
            <w:color w:val="0275D8"/>
            <w:sz w:val="21"/>
            <w:szCs w:val="21"/>
            <w:lang w:val="uk-UA"/>
          </w:rPr>
          <w:t>964-2000-п</w:t>
        </w:r>
      </w:hyperlink>
      <w:r w:rsidRPr="00FB4716">
        <w:rPr>
          <w:rFonts w:ascii="Consolas" w:hAnsi="Consolas" w:cs="Consolas"/>
          <w:i/>
          <w:iCs/>
          <w:color w:val="292B2C"/>
          <w:sz w:val="21"/>
          <w:szCs w:val="21"/>
          <w:lang w:val="uk-UA"/>
        </w:rPr>
        <w:t xml:space="preserve"> ) від 14.06.2000 ) </w:t>
      </w:r>
      <w:r w:rsidRPr="00FB4716">
        <w:rPr>
          <w:rFonts w:ascii="Consolas" w:hAnsi="Consolas" w:cs="Consolas"/>
          <w:i/>
          <w:iCs/>
          <w:color w:val="292B2C"/>
          <w:sz w:val="21"/>
          <w:szCs w:val="21"/>
          <w:lang w:val="uk-UA"/>
        </w:rPr>
        <w:br/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2" w:name="o4"/>
      <w:bookmarkEnd w:id="2"/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t xml:space="preserve">             Про затвердження Положення про середній </w:t>
      </w:r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br/>
        <w:t xml:space="preserve">            загальноосвітній навчально-виховний заклад </w:t>
      </w:r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br/>
        <w:t xml:space="preserve"> </w:t>
      </w:r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br/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3" w:name="o5"/>
      <w:bookmarkEnd w:id="3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Відповідно  до  Закону  України  "Про  освіту"  (  </w:t>
      </w:r>
      <w:hyperlink r:id="rId5" w:tgtFrame="_blank" w:history="1">
        <w:r w:rsidRPr="00FB4716">
          <w:rPr>
            <w:rStyle w:val="a3"/>
            <w:rFonts w:ascii="Consolas" w:hAnsi="Consolas" w:cs="Consolas"/>
            <w:color w:val="0275D8"/>
            <w:sz w:val="21"/>
            <w:szCs w:val="21"/>
            <w:lang w:val="uk-UA"/>
          </w:rPr>
          <w:t>1060-12</w:t>
        </w:r>
      </w:hyperlink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)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Кабінет Міністрів України  </w:t>
      </w:r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t>п о с т а н о в л я є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: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4" w:name="o6"/>
      <w:bookmarkEnd w:id="4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Затвердити Положення    про     середній     загальноосвітній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навчально-виховний заклад, що додається.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5" w:name="o7"/>
      <w:bookmarkEnd w:id="5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Прем'єр-міністр України                               Л.КУЧМА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6" w:name="o8"/>
      <w:bookmarkEnd w:id="6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Перший заступник Міністра</w:t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7" w:name="o9"/>
      <w:bookmarkEnd w:id="7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Кабінету Міністрів України                           В.НЕСМІХ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8" w:name="o10"/>
      <w:bookmarkEnd w:id="8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Інд.28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9" w:name="o11"/>
      <w:bookmarkEnd w:id="9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                                    ЗАТВЕРДЖЕНО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                             постановою Кабінету Міністрів України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                                  від 19 серпня 1993 р. N 660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</w:pPr>
      <w:bookmarkStart w:id="10" w:name="o12"/>
      <w:bookmarkEnd w:id="10"/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t xml:space="preserve">                            ПОЛОЖЕННЯ </w:t>
      </w:r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br/>
        <w:t xml:space="preserve">                  про середній загальноосвітній </w:t>
      </w:r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br/>
        <w:t xml:space="preserve">                    навчально-виховний заклад </w:t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r w:rsidRPr="00FB4716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t xml:space="preserve"> Витяг</w:t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11. Для розвитку природної  обдарованості  дітей  створюються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</w:r>
      <w:r w:rsidRPr="00FB4716">
        <w:rPr>
          <w:rFonts w:ascii="Consolas" w:hAnsi="Consolas" w:cs="Consolas"/>
          <w:color w:val="FF0000"/>
          <w:sz w:val="21"/>
          <w:szCs w:val="21"/>
          <w:lang w:val="uk-UA"/>
        </w:rPr>
        <w:t>спеціалізовані школи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і профільні класи, гімназії та ліцеї:</w:t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11" w:name="o40"/>
      <w:bookmarkEnd w:id="11"/>
      <w:r w:rsidRPr="00FB4716">
        <w:rPr>
          <w:rFonts w:ascii="Consolas" w:hAnsi="Consolas" w:cs="Consolas"/>
          <w:color w:val="FF0000"/>
          <w:sz w:val="21"/>
          <w:szCs w:val="21"/>
          <w:lang w:val="uk-UA"/>
        </w:rPr>
        <w:t xml:space="preserve">     спеціалізована школа   і   профільні    класи    забезпечують </w:t>
      </w:r>
      <w:r w:rsidRPr="00FB4716">
        <w:rPr>
          <w:rFonts w:ascii="Consolas" w:hAnsi="Consolas" w:cs="Consolas"/>
          <w:color w:val="FF0000"/>
          <w:sz w:val="21"/>
          <w:szCs w:val="21"/>
          <w:lang w:val="uk-UA"/>
        </w:rPr>
        <w:br/>
        <w:t xml:space="preserve">поглиблене вивчення   одного   або   кількох   базових  навчальних </w:t>
      </w:r>
      <w:r w:rsidRPr="00FB4716">
        <w:rPr>
          <w:rFonts w:ascii="Consolas" w:hAnsi="Consolas" w:cs="Consolas"/>
          <w:color w:val="FF0000"/>
          <w:sz w:val="21"/>
          <w:szCs w:val="21"/>
          <w:lang w:val="uk-UA"/>
        </w:rPr>
        <w:br/>
        <w:t xml:space="preserve">предметів. Вони можуть діяти в складі шкіл першого -  третього  та </w:t>
      </w:r>
      <w:r w:rsidRPr="00FB4716">
        <w:rPr>
          <w:rFonts w:ascii="Consolas" w:hAnsi="Consolas" w:cs="Consolas"/>
          <w:color w:val="FF0000"/>
          <w:sz w:val="21"/>
          <w:szCs w:val="21"/>
          <w:lang w:val="uk-UA"/>
        </w:rPr>
        <w:br/>
        <w:t>другого - третього ступеня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>;</w:t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12" w:name="o41"/>
      <w:bookmarkEnd w:id="12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гімназія -   середній   загальноосвітній   навчально-виховний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заклад другого     -     третього     ступеня,    що    забезпечує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науково-теоретичну, гуманітарну, загальнокультурну      підготовку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>обдарованих і здібних дітей;</w:t>
      </w:r>
    </w:p>
    <w:p w:rsidR="00FB4716" w:rsidRPr="00FB4716" w:rsidRDefault="00FB4716" w:rsidP="00FB4716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13" w:name="o42"/>
      <w:bookmarkEnd w:id="13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ліцей - середній загальноосвітній навчально-виховний  заклад,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що забезпечує  здобуття  учнями  освіти  понад  державний освітній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мінімум і  здійснює   науково-практичну   підготовку   талановитої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учнівської молоді.  Термін навчання в ньому може бути таким,  як у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>школі третього ступеня, або на 1-2 роки більше</w:t>
      </w:r>
    </w:p>
    <w:p w:rsidR="00FB4716" w:rsidRPr="00FB4716" w:rsidRDefault="00FB4716" w:rsidP="00EF5A2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</w:pPr>
    </w:p>
    <w:p w:rsidR="00EF5A2F" w:rsidRPr="00EF5A2F" w:rsidRDefault="00EF5A2F" w:rsidP="00EF5A2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</w:pP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t xml:space="preserve">17. Приймання    учнів   до   середнього   загальноосвітнього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  <w:t xml:space="preserve">навчально-виховного закладу провадиться,  як правило,  до  початку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  <w:t xml:space="preserve">навчального року  згідно  з  наказом  директора,  що  видається на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  <w:t xml:space="preserve">підставі особистої заяви (для неповнолітніх -  заяви  батьків  або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  <w:t xml:space="preserve">осіб, які  їх заміняють).  </w:t>
      </w:r>
      <w:r w:rsidRPr="00EF5A2F"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  <w:t xml:space="preserve">До першого класу зараховуються діти 6-7 </w:t>
      </w:r>
      <w:r w:rsidRPr="00EF5A2F"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  <w:br/>
        <w:t xml:space="preserve">років, які досягли шкільної зрілості, що визначається за допомогою </w:t>
      </w:r>
      <w:r w:rsidRPr="00EF5A2F"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  <w:br/>
      </w:r>
      <w:proofErr w:type="spellStart"/>
      <w:r w:rsidRPr="00EF5A2F"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  <w:lastRenderedPageBreak/>
        <w:t>психодіагностичного</w:t>
      </w:r>
      <w:proofErr w:type="spellEnd"/>
      <w:r w:rsidRPr="00EF5A2F"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  <w:t xml:space="preserve"> обстеження.  Таке  обстеження може провадитися </w:t>
      </w:r>
      <w:r w:rsidRPr="00EF5A2F"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  <w:br/>
        <w:t xml:space="preserve">лікарем-спеціалістом, шкільним   психологом   або   вчителем    за </w:t>
      </w:r>
      <w:r w:rsidRPr="00EF5A2F"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  <w:br/>
        <w:t>критеріями, що визначаються Міносвіти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t>.</w:t>
      </w:r>
    </w:p>
    <w:p w:rsidR="00EF5A2F" w:rsidRPr="00EF5A2F" w:rsidRDefault="00EF5A2F" w:rsidP="00EF5A2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</w:pPr>
      <w:bookmarkStart w:id="14" w:name="o54"/>
      <w:bookmarkEnd w:id="14"/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t xml:space="preserve">     У разі потреби учень може перейти  протягом  будь-якого  року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  <w:t xml:space="preserve">навчання до  іншого  навчально-виховного  закладу  за  наявності в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  <w:t xml:space="preserve">ньому вільних місць.  При  цьому  до  заяви  додаються  відповідні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  <w:t xml:space="preserve">документи про  освіту (табель успішності,  довідка або свідоцтво).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</w:r>
      <w:r w:rsidRPr="00EF5A2F"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  <w:t xml:space="preserve">Перевага в зарахуванні до  навчально-виховного  закладу  надається </w:t>
      </w:r>
      <w:r w:rsidRPr="00EF5A2F"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  <w:br/>
        <w:t>учням, які проживають поблизу цього закладу.</w:t>
      </w:r>
    </w:p>
    <w:p w:rsidR="00EF5A2F" w:rsidRPr="00EF5A2F" w:rsidRDefault="00EF5A2F" w:rsidP="00EF5A2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</w:pPr>
      <w:bookmarkStart w:id="15" w:name="o55"/>
      <w:bookmarkEnd w:id="15"/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t xml:space="preserve">     Приймання учнів до школи третього ступеня може  здійснюватися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  <w:t xml:space="preserve">за конкурсом,      умови     якого     розробляються     дирекцією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  <w:t xml:space="preserve">навчально-виховного закладу за участю ради  школи  і  погоджуються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  <w:t xml:space="preserve">з відповідним структурним підрозділом  місцевого  органу державної </w:t>
      </w:r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br/>
        <w:t>виконавчої влади.</w:t>
      </w:r>
    </w:p>
    <w:p w:rsidR="00EF5A2F" w:rsidRPr="00EF5A2F" w:rsidRDefault="00EF5A2F" w:rsidP="00EF5A2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</w:pPr>
      <w:bookmarkStart w:id="16" w:name="o56"/>
      <w:bookmarkEnd w:id="16"/>
      <w:r w:rsidRPr="00EF5A2F">
        <w:rPr>
          <w:rFonts w:ascii="Consolas" w:eastAsia="Times New Roman" w:hAnsi="Consolas" w:cs="Consolas"/>
          <w:color w:val="292B2C"/>
          <w:sz w:val="21"/>
          <w:szCs w:val="21"/>
          <w:lang w:val="uk-UA" w:eastAsia="ru-RU"/>
        </w:rPr>
        <w:t xml:space="preserve">     </w:t>
      </w:r>
      <w:r w:rsidRPr="00EF5A2F"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  <w:t xml:space="preserve">До профільних  класів  і  спеціалізованої школи,  гімназії та </w:t>
      </w:r>
      <w:r w:rsidRPr="00EF5A2F">
        <w:rPr>
          <w:rFonts w:ascii="Consolas" w:eastAsia="Times New Roman" w:hAnsi="Consolas" w:cs="Consolas"/>
          <w:color w:val="FF0000"/>
          <w:sz w:val="21"/>
          <w:szCs w:val="21"/>
          <w:lang w:val="uk-UA" w:eastAsia="ru-RU"/>
        </w:rPr>
        <w:br/>
        <w:t xml:space="preserve">ліцею учні зараховуються на конкурсній основі. </w:t>
      </w:r>
    </w:p>
    <w:p w:rsidR="00CD6BDF" w:rsidRPr="00FB4716" w:rsidRDefault="00FB4716">
      <w:pPr>
        <w:rPr>
          <w:lang w:val="uk-UA"/>
        </w:rPr>
      </w:pPr>
    </w:p>
    <w:p w:rsidR="00EF5A2F" w:rsidRPr="00FB4716" w:rsidRDefault="00EF5A2F">
      <w:pPr>
        <w:rPr>
          <w:lang w:val="uk-UA"/>
        </w:rPr>
      </w:pPr>
    </w:p>
    <w:p w:rsidR="00EF5A2F" w:rsidRPr="00FB4716" w:rsidRDefault="00EF5A2F" w:rsidP="00EF5A2F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31. Учні, які за підсумками навчального року не засвоїли хоча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б один  із  предметів  в  обсязі  державних   стандартів   освіти,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>вважаються невстигаючими.</w:t>
      </w:r>
    </w:p>
    <w:p w:rsidR="00EF5A2F" w:rsidRPr="00FB4716" w:rsidRDefault="00EF5A2F" w:rsidP="00EF5A2F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17" w:name="o76"/>
      <w:bookmarkEnd w:id="17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Невстигаючі учні (віком до  15  років)  шкіл  першого-другого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ступеня за   згодою  батьків  (осіб,  які  їх  заміняють)  наказом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директора можуть бути залишені  для  повторного  навчання  у  тому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>самому класі або за певних умов переведені до наступного класу.</w:t>
      </w:r>
    </w:p>
    <w:p w:rsidR="00EF5A2F" w:rsidRPr="00FB4716" w:rsidRDefault="00EF5A2F" w:rsidP="00EF5A2F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18" w:name="o77"/>
      <w:bookmarkEnd w:id="18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Учні, які не встигають протягом двох років навчання  у  школі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першого ступеня,        підлягають        обстеженню       </w:t>
      </w:r>
      <w:proofErr w:type="spellStart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>медико-</w:t>
      </w:r>
      <w:proofErr w:type="spellEnd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психолого-педагогічною комісією.  За її висновками такі  учні,  як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правило, продовжують  навчання  у  спеціальних  навчально-виховних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закладах. За бажанням батьків (осіб, які їх заміняють) їх навчання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може провадитися у класах вирівнювання знань (групах здоров'я) або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>індивідуально.</w:t>
      </w:r>
    </w:p>
    <w:p w:rsidR="00EF5A2F" w:rsidRPr="00FB4716" w:rsidRDefault="00EF5A2F" w:rsidP="00EF5A2F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19" w:name="o78"/>
      <w:bookmarkEnd w:id="19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Невстигаючі учні  гімназії  або  ліцею відраховуються наказом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>директора з цих навчально-виховних закладів.</w:t>
      </w:r>
    </w:p>
    <w:p w:rsidR="00EF5A2F" w:rsidRPr="00FB4716" w:rsidRDefault="00EF5A2F" w:rsidP="00EF5A2F">
      <w:pPr>
        <w:pStyle w:val="HTML"/>
        <w:shd w:val="clear" w:color="auto" w:fill="F0F0F0"/>
        <w:rPr>
          <w:rFonts w:ascii="Consolas" w:hAnsi="Consolas" w:cs="Consolas"/>
          <w:color w:val="292B2C"/>
          <w:sz w:val="21"/>
          <w:szCs w:val="21"/>
          <w:lang w:val="uk-UA"/>
        </w:rPr>
      </w:pPr>
      <w:bookmarkStart w:id="20" w:name="o79"/>
      <w:bookmarkEnd w:id="20"/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t xml:space="preserve">     У разі   досягнення   15-річного  віку  невстигаючі  учні  за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поданням ради  середнього  загальноосвітнього  навчально-виховного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закладу з  дотриманням  чинного  законодавства  наказом  директора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можуть бути відраховані із закладу незалежно  від  того,  в  якому </w:t>
      </w:r>
      <w:r w:rsidRPr="00FB4716">
        <w:rPr>
          <w:rFonts w:ascii="Consolas" w:hAnsi="Consolas" w:cs="Consolas"/>
          <w:color w:val="292B2C"/>
          <w:sz w:val="21"/>
          <w:szCs w:val="21"/>
          <w:lang w:val="uk-UA"/>
        </w:rPr>
        <w:br/>
        <w:t xml:space="preserve">класі вони навчаються. </w:t>
      </w:r>
    </w:p>
    <w:p w:rsidR="00EF5A2F" w:rsidRPr="00FB4716" w:rsidRDefault="00EF5A2F">
      <w:pPr>
        <w:rPr>
          <w:lang w:val="uk-UA"/>
        </w:rPr>
      </w:pPr>
    </w:p>
    <w:sectPr w:rsidR="00EF5A2F" w:rsidRPr="00FB4716" w:rsidSect="00C5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2F"/>
    <w:rsid w:val="00AB23E8"/>
    <w:rsid w:val="00C570A2"/>
    <w:rsid w:val="00D7168C"/>
    <w:rsid w:val="00EF5A2F"/>
    <w:rsid w:val="00FB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A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4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60-12" TargetMode="External"/><Relationship Id="rId4" Type="http://schemas.openxmlformats.org/officeDocument/2006/relationships/hyperlink" Target="http://zakon3.rada.gov.ua/laws/show/964-200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2018-01-26T14:32:00Z</dcterms:created>
  <dcterms:modified xsi:type="dcterms:W3CDTF">2018-01-26T15:02:00Z</dcterms:modified>
</cp:coreProperties>
</file>